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134"/>
        </w:tabs>
        <w:adjustRightInd w:val="0"/>
        <w:snapToGrid w:val="0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/>
          <w:color w:val="000000"/>
          <w:sz w:val="28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1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1"/>
          <w:lang w:val="en-US" w:eastAsia="zh-CN"/>
        </w:rPr>
        <w:t>1：</w:t>
      </w:r>
    </w:p>
    <w:tbl>
      <w:tblPr>
        <w:tblStyle w:val="4"/>
        <w:tblW w:w="96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723"/>
        <w:gridCol w:w="250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660" w:type="dxa"/>
            <w:gridSpan w:val="4"/>
            <w:shd w:val="clear" w:color="auto" w:fill="DEEAF6" w:themeFill="accent1" w:themeFillTint="3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  <w:drawing>
                <wp:inline distT="0" distB="0" distL="0" distR="0">
                  <wp:extent cx="445135" cy="433070"/>
                  <wp:effectExtent l="0" t="0" r="12065" b="5080"/>
                  <wp:docPr id="10" name="图片 10" descr="http://www.bpsa.org.cn/images/%E7%94%B5%E5%8A%9B%E8%B0%83%E5%B3%B0%E6%A0%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ttp://www.bpsa.org.cn/images/%E7%94%B5%E5%8A%9B%E8%B0%83%E5%B3%B0%E6%A0%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65" cy="44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  <w:t>电力调峰辅助服务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  <w:br w:type="textWrapping"/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  <w:t>“双碳经济建设示范企业”申报表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申报单位名称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统一社会信用代码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联系地址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单位电话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法定代表人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公司邮箱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公司电话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公司网址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企业性质 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股份有限公司（上市）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股份有限公司（非上市）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全民所有制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集体所有制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52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有限公司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有限责任公司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合伙企业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外商投资企业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自然人独资企业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sym w:font="Wingdings 2" w:char="00A3"/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其他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项目负责人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项目负责人邮箱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项目负责人手机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项目负责人职务/职称</w:t>
            </w:r>
          </w:p>
        </w:tc>
        <w:tc>
          <w:tcPr>
            <w:tcW w:w="204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89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申请企业承诺：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我单位自愿申请“双碳经济建设示范企业”，同意开展“国网电力调峰辅助服务”工作，对所提供的信息真实性负责。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3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公司简介</w:t>
            </w:r>
          </w:p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t>（5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00字）</w:t>
            </w:r>
          </w:p>
        </w:tc>
        <w:tc>
          <w:tcPr>
            <w:tcW w:w="727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Times New Roman" w:hAnsi="Times New Roman" w:eastAsia="微软雅黑" w:cs="Times New Roman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3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  <w:lang w:eastAsia="zh-CN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>联合工作办公室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  <w:lang w:eastAsia="zh-CN"/>
              </w:rPr>
              <w:t>意见</w:t>
            </w:r>
          </w:p>
        </w:tc>
        <w:tc>
          <w:tcPr>
            <w:tcW w:w="7271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tabs>
                <w:tab w:val="left" w:pos="11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t xml:space="preserve"> 年  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1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1"/>
              </w:rPr>
              <w:t xml:space="preserve"> 月   日</w:t>
            </w:r>
          </w:p>
        </w:tc>
      </w:tr>
    </w:tbl>
    <w:p>
      <w:pPr>
        <w:pStyle w:val="6"/>
        <w:tabs>
          <w:tab w:val="left" w:pos="1134"/>
        </w:tabs>
        <w:adjustRightInd w:val="0"/>
        <w:snapToGrid w:val="0"/>
        <w:ind w:left="567" w:firstLine="0" w:firstLineChars="0"/>
        <w:jc w:val="right"/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1"/>
        </w:rPr>
        <w:sectPr>
          <w:foot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Times New Roman"/>
          <w:b/>
          <w:bCs/>
          <w:color w:val="000000"/>
          <w:sz w:val="24"/>
          <w:szCs w:val="21"/>
        </w:rPr>
        <w:t>电源行业碳达峰、碳中和推进联合工作办公室 制</w:t>
      </w:r>
    </w:p>
    <w:p>
      <w:pPr>
        <w:pStyle w:val="6"/>
        <w:tabs>
          <w:tab w:val="left" w:pos="1134"/>
        </w:tabs>
        <w:adjustRightInd w:val="0"/>
        <w:snapToGrid w:val="0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b/>
          <w:color w:val="000000"/>
          <w:sz w:val="28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1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color w:val="000000"/>
          <w:sz w:val="28"/>
          <w:szCs w:val="21"/>
          <w:lang w:val="en-US" w:eastAsia="zh-CN"/>
        </w:rPr>
        <w:t>2：</w:t>
      </w:r>
    </w:p>
    <w:tbl>
      <w:tblPr>
        <w:tblStyle w:val="3"/>
        <w:tblW w:w="141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1245"/>
        <w:gridCol w:w="1828"/>
        <w:gridCol w:w="3722"/>
        <w:gridCol w:w="1682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drawing>
                <wp:inline distT="0" distB="0" distL="0" distR="0">
                  <wp:extent cx="445135" cy="433070"/>
                  <wp:effectExtent l="0" t="0" r="12065" b="5080"/>
                  <wp:docPr id="7" name="图片 7" descr="http://www.bpsa.org.cn/images/%E7%94%B5%E5%8A%9B%E8%B0%83%E5%B3%B0%E6%A0%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bpsa.org.cn/images/%E7%94%B5%E5%8A%9B%E8%B0%83%E5%B3%B0%E6%A0%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765" cy="44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28"/>
              </w:rPr>
              <w:t>动力设备（工艺）运行调研备案表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8"/>
              </w:rPr>
              <w:t xml:space="preserve">  制表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8"/>
              </w:rPr>
              <w:t>时间：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8"/>
              </w:rPr>
              <w:t xml:space="preserve">     年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8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月总耗电量/ kw.h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月电费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变压器容量/ KVA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总负荷/Kw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计量方式（高压、低压）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总柜工作电压/KV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设备（工艺）名称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功率/kw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数量/台、条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日运行时长（几点至几点）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月运行天数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年运行主要时段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注意：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随表提供上1年度12个月的《电力用户电费交纳通知单》复印件。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“设备（工艺）名称”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项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，如果</w:t>
            </w:r>
            <w:r>
              <w:rPr>
                <w:rFonts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设备较多，可增加表格项。</w:t>
            </w:r>
          </w:p>
        </w:tc>
      </w:tr>
    </w:tbl>
    <w:p>
      <w:pPr>
        <w:pStyle w:val="6"/>
        <w:tabs>
          <w:tab w:val="left" w:pos="1134"/>
        </w:tabs>
        <w:adjustRightInd w:val="0"/>
        <w:snapToGrid w:val="0"/>
        <w:ind w:left="567" w:firstLine="0" w:firstLineChars="0"/>
        <w:jc w:val="right"/>
      </w:pPr>
      <w:r>
        <w:rPr>
          <w:rFonts w:ascii="微软雅黑" w:hAnsi="微软雅黑" w:eastAsia="微软雅黑" w:cs="Times New Roman"/>
          <w:b/>
          <w:bCs/>
          <w:color w:val="000000"/>
          <w:sz w:val="24"/>
          <w:szCs w:val="21"/>
        </w:rPr>
        <w:t>电源行业碳达峰、碳中和</w:t>
      </w:r>
      <w:r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1"/>
        </w:rPr>
        <w:t>推进</w:t>
      </w:r>
      <w:r>
        <w:rPr>
          <w:rFonts w:ascii="微软雅黑" w:hAnsi="微软雅黑" w:eastAsia="微软雅黑" w:cs="Times New Roman"/>
          <w:b/>
          <w:bCs/>
          <w:color w:val="000000"/>
          <w:sz w:val="24"/>
          <w:szCs w:val="21"/>
        </w:rPr>
        <w:t>联合工作办公室</w:t>
      </w:r>
      <w:r>
        <w:rPr>
          <w:rFonts w:hint="eastAsia" w:ascii="微软雅黑" w:hAnsi="微软雅黑" w:eastAsia="微软雅黑" w:cs="Times New Roman"/>
          <w:b/>
          <w:bCs/>
          <w:color w:val="000000"/>
          <w:sz w:val="24"/>
          <w:szCs w:val="21"/>
        </w:rPr>
        <w:t xml:space="preserve"> 制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47978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Yjk0Mzc5ZDdlMzViNDhjMjgwNTU5OTU3MDczYjYifQ=="/>
  </w:docVars>
  <w:rsids>
    <w:rsidRoot w:val="0B634928"/>
    <w:rsid w:val="0B634928"/>
    <w:rsid w:val="241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488</Characters>
  <Lines>0</Lines>
  <Paragraphs>0</Paragraphs>
  <TotalTime>0</TotalTime>
  <ScaleCrop>false</ScaleCrop>
  <LinksUpToDate>false</LinksUpToDate>
  <CharactersWithSpaces>573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2022-08-12T02:47:00Z</dcterms:created>
  <dc:creator>孙京伟/电源协会</dc:creator>
  <cp:lastModifiedBy>孙京伟/电源协会</cp:lastModifiedBy>
  <dcterms:modified xsi:type="dcterms:W3CDTF">2022-09-20T08:54:57Z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4E4BDBDE35E64374A259C91E6E4B577A</vt:lpwstr>
  </property>
</Properties>
</file>